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D9" w:rsidRPr="00685ED9" w:rsidRDefault="00685ED9" w:rsidP="00685E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5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части порядка исчисления пособий по временной нетрудоспособности и других для граждан, работающих по гражданско-правовым договорам</w:t>
      </w:r>
    </w:p>
    <w:p w:rsidR="00685ED9" w:rsidRDefault="00685ED9" w:rsidP="00685ED9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685ED9" w:rsidRDefault="00685ED9" w:rsidP="00685ED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685ED9" w:rsidRDefault="00685ED9" w:rsidP="00685ED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685ED9" w:rsidRPr="00685ED9" w:rsidRDefault="00685ED9" w:rsidP="00685ED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68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постановлению Правительства РФ от 15.12.2022 № 2310, с 1 января 2023 года и до 1 сентября 2027 года действуют особенности исчисления больничных листов и детского пособия для граждан, работающих по гражданско-правовым договорам (ГПХ) и авторов произведений. В соответствии с законодательными изменениями обязательному социальному страхованию на случай временной нетрудоспособности и в связи с материнством теперь подлежат не только работники по трудовому договору, но и лица, работающие по договорам ГПХ, за исключением </w:t>
      </w:r>
      <w:proofErr w:type="spellStart"/>
      <w:r w:rsidRPr="00685ED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68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лиц.</w:t>
      </w:r>
    </w:p>
    <w:p w:rsidR="00685ED9" w:rsidRPr="00685ED9" w:rsidRDefault="00685ED9" w:rsidP="00685ED9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85ED9">
        <w:rPr>
          <w:color w:val="000000" w:themeColor="text1"/>
          <w:sz w:val="28"/>
          <w:szCs w:val="28"/>
        </w:rPr>
        <w:t>При этом если застрахованное лицо, работающее по договору ГПХ, на момент наступления страхового случая занято у нескольких страхователей, для назначения пособия (по временной нетрудоспособности, по беременности и родам, ежемесячное пособие по уходу за ребёнком) нужно выбрать одного из них.</w:t>
      </w: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D9"/>
    <w:rsid w:val="00685ED9"/>
    <w:rsid w:val="00A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Krokoz™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2023-03-31T04:02:00Z</dcterms:created>
  <dcterms:modified xsi:type="dcterms:W3CDTF">2023-03-31T04:03:00Z</dcterms:modified>
</cp:coreProperties>
</file>